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1FEF1C81"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zadávací 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 xml:space="preserve">echnické podmínky </w:t>
      </w:r>
      <w:r w:rsidR="001623C7">
        <w:rPr>
          <w:rFonts w:asciiTheme="minorHAnsi" w:eastAsia="Calibri" w:hAnsiTheme="minorHAnsi" w:cs="Arial"/>
          <w:b/>
          <w:sz w:val="28"/>
          <w:szCs w:val="28"/>
          <w:lang w:eastAsia="en-US"/>
        </w:rPr>
        <w:t>pro část 1</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5C61C5D7" w:rsidR="0073070F" w:rsidRPr="005A6D1E" w:rsidRDefault="00B5086B" w:rsidP="00F42F2C">
      <w:pPr>
        <w:shd w:val="clear" w:color="auto" w:fill="FFD966" w:themeFill="accent4" w:themeFillTint="99"/>
        <w:jc w:val="both"/>
        <w:rPr>
          <w:rFonts w:asciiTheme="minorHAnsi" w:hAnsiTheme="minorHAnsi" w:cs="Arial"/>
          <w:b/>
          <w:sz w:val="28"/>
          <w:szCs w:val="28"/>
        </w:rPr>
      </w:pPr>
      <w:r w:rsidRPr="005A6D1E">
        <w:rPr>
          <w:rFonts w:asciiTheme="minorHAnsi" w:hAnsiTheme="minorHAnsi" w:cs="Arial"/>
          <w:b/>
          <w:sz w:val="28"/>
          <w:szCs w:val="28"/>
        </w:rPr>
        <w:t>Laboratorní přístrojové vybavení 1</w:t>
      </w:r>
      <w:r w:rsidR="0009503C" w:rsidRPr="005A6D1E">
        <w:rPr>
          <w:rFonts w:asciiTheme="minorHAnsi" w:hAnsiTheme="minorHAnsi" w:cs="Arial"/>
          <w:b/>
          <w:sz w:val="28"/>
          <w:szCs w:val="28"/>
        </w:rPr>
        <w:t xml:space="preserve"> </w:t>
      </w:r>
      <w:r w:rsidR="00DC5760" w:rsidRPr="005A6D1E">
        <w:rPr>
          <w:rFonts w:asciiTheme="minorHAnsi" w:hAnsiTheme="minorHAnsi" w:cs="Arial"/>
          <w:b/>
          <w:sz w:val="28"/>
          <w:szCs w:val="28"/>
        </w:rPr>
        <w:t>– část 1</w:t>
      </w:r>
    </w:p>
    <w:p w14:paraId="50A8ABC3" w14:textId="77777777" w:rsidR="00393D63" w:rsidRPr="00DC2021" w:rsidRDefault="00393D63" w:rsidP="002B39F1">
      <w:pPr>
        <w:jc w:val="both"/>
        <w:rPr>
          <w:rFonts w:asciiTheme="minorHAnsi" w:hAnsiTheme="minorHAnsi" w:cs="Arial"/>
          <w:b/>
          <w:bCs/>
          <w:sz w:val="24"/>
        </w:rPr>
      </w:pPr>
    </w:p>
    <w:p w14:paraId="04E22E0D" w14:textId="4CC07247" w:rsidR="005A6D1E" w:rsidRPr="00DC2021" w:rsidRDefault="005A6D1E" w:rsidP="005A6D1E">
      <w:pPr>
        <w:shd w:val="clear" w:color="auto" w:fill="C5E0B3" w:themeFill="accent6" w:themeFillTint="66"/>
        <w:jc w:val="both"/>
        <w:outlineLvl w:val="0"/>
        <w:rPr>
          <w:rFonts w:asciiTheme="minorHAnsi" w:hAnsiTheme="minorHAnsi" w:cs="Arial"/>
          <w:b/>
          <w:sz w:val="24"/>
        </w:rPr>
      </w:pPr>
      <w:r w:rsidRPr="00DC2021">
        <w:rPr>
          <w:rFonts w:asciiTheme="minorHAnsi" w:hAnsiTheme="minorHAnsi" w:cs="Arial"/>
          <w:b/>
          <w:sz w:val="24"/>
        </w:rPr>
        <w:t xml:space="preserve">Název </w:t>
      </w:r>
      <w:r>
        <w:rPr>
          <w:rFonts w:asciiTheme="minorHAnsi" w:hAnsiTheme="minorHAnsi" w:cs="Arial"/>
          <w:b/>
          <w:sz w:val="24"/>
        </w:rPr>
        <w:t xml:space="preserve">části </w:t>
      </w:r>
      <w:r w:rsidRPr="00DC2021">
        <w:rPr>
          <w:rFonts w:asciiTheme="minorHAnsi" w:hAnsiTheme="minorHAnsi" w:cs="Arial"/>
          <w:b/>
          <w:sz w:val="24"/>
        </w:rPr>
        <w:t xml:space="preserve">veřejné zakázky:      </w:t>
      </w:r>
    </w:p>
    <w:p w14:paraId="740D54B4" w14:textId="0AEEDC69" w:rsidR="005A6D1E" w:rsidRPr="005A6D1E" w:rsidRDefault="005A6D1E" w:rsidP="005A6D1E">
      <w:pPr>
        <w:shd w:val="clear" w:color="auto" w:fill="C5E0B3" w:themeFill="accent6" w:themeFillTint="66"/>
        <w:jc w:val="both"/>
        <w:rPr>
          <w:rFonts w:asciiTheme="minorHAnsi" w:hAnsiTheme="minorHAnsi" w:cs="Arial"/>
          <w:b/>
          <w:sz w:val="28"/>
          <w:szCs w:val="28"/>
        </w:rPr>
      </w:pPr>
      <w:r w:rsidRPr="005A6D1E">
        <w:rPr>
          <w:rFonts w:asciiTheme="minorHAnsi" w:hAnsiTheme="minorHAnsi" w:cs="Arial"/>
          <w:b/>
          <w:sz w:val="28"/>
          <w:szCs w:val="28"/>
        </w:rPr>
        <w:t>Plynový chromatograf</w:t>
      </w:r>
    </w:p>
    <w:p w14:paraId="0133E2D3" w14:textId="77777777" w:rsidR="005A6D1E" w:rsidRDefault="005A6D1E"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6BD9E090" w14:textId="77777777" w:rsidR="005A6D1E" w:rsidRDefault="005A6D1E"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1D24A7A" w14:textId="3E916B9B"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7BE8C0C7" w14:textId="43E975E5" w:rsidR="002B39F1" w:rsidRPr="001623C7" w:rsidRDefault="001623C7" w:rsidP="001623C7">
      <w:pPr>
        <w:pStyle w:val="Zkladntext3"/>
        <w:rPr>
          <w:rFonts w:cs="Calibri"/>
        </w:rPr>
      </w:pPr>
      <w:bookmarkStart w:id="0" w:name="_Hlk46760214"/>
      <w:r w:rsidRPr="001623C7">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2B388D54" w14:textId="77777777" w:rsidR="008E1D92" w:rsidRPr="00DC2021" w:rsidRDefault="008E1D92" w:rsidP="00602A33">
      <w:pPr>
        <w:suppressAutoHyphens/>
        <w:spacing w:after="160" w:line="276" w:lineRule="auto"/>
        <w:contextualSpacing/>
        <w:rPr>
          <w:rFonts w:asciiTheme="minorHAnsi" w:hAnsiTheme="minorHAnsi" w:cs="Arial"/>
          <w:sz w:val="22"/>
          <w:szCs w:val="22"/>
        </w:rPr>
      </w:pPr>
    </w:p>
    <w:p w14:paraId="33928CE2" w14:textId="59BBB330" w:rsidR="008710C5" w:rsidRPr="0009503C" w:rsidRDefault="001623C7"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p>
    <w:p w14:paraId="6AA2A34C" w14:textId="77777777" w:rsidR="00DC2021" w:rsidRPr="00DC2021" w:rsidRDefault="00DC202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A36BA3">
        <w:trPr>
          <w:trHeight w:val="387"/>
          <w:tblHeader/>
        </w:trPr>
        <w:tc>
          <w:tcPr>
            <w:tcW w:w="4536" w:type="dxa"/>
            <w:shd w:val="clear" w:color="auto" w:fill="BDD6EE" w:themeFill="accent1" w:themeFillTint="66"/>
            <w:vAlign w:val="center"/>
          </w:tcPr>
          <w:p w14:paraId="7C5F7D23" w14:textId="77777777" w:rsidR="00615491" w:rsidRPr="00DC2021" w:rsidRDefault="00615491" w:rsidP="00A36BA3">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650A272" w14:textId="69773C54" w:rsidR="00615491" w:rsidRPr="00DC2021" w:rsidRDefault="00B36241" w:rsidP="00A36BA3">
            <w:pPr>
              <w:autoSpaceDE w:val="0"/>
              <w:autoSpaceDN w:val="0"/>
              <w:adjustRightInd w:val="0"/>
              <w:rPr>
                <w:rFonts w:asciiTheme="minorHAnsi" w:hAnsiTheme="minorHAnsi"/>
                <w:b/>
                <w:bCs/>
                <w:sz w:val="28"/>
                <w:szCs w:val="28"/>
              </w:rPr>
            </w:pPr>
            <w:r>
              <w:rPr>
                <w:rFonts w:asciiTheme="minorHAnsi" w:hAnsiTheme="minorHAnsi" w:cs="Arial"/>
                <w:b/>
                <w:sz w:val="28"/>
                <w:szCs w:val="28"/>
              </w:rPr>
              <w:t>Plynový chromatograf</w:t>
            </w:r>
            <w:r w:rsidR="0031657C">
              <w:rPr>
                <w:rFonts w:asciiTheme="minorHAnsi" w:hAnsiTheme="minorHAnsi" w:cs="Arial"/>
                <w:b/>
                <w:sz w:val="28"/>
                <w:szCs w:val="28"/>
              </w:rPr>
              <w:t xml:space="preserve"> pro </w:t>
            </w:r>
            <w:r>
              <w:rPr>
                <w:rFonts w:asciiTheme="minorHAnsi" w:hAnsiTheme="minorHAnsi" w:cs="Arial"/>
                <w:b/>
                <w:sz w:val="28"/>
                <w:szCs w:val="28"/>
              </w:rPr>
              <w:t xml:space="preserve">OKBD Pardubické </w:t>
            </w:r>
            <w:r w:rsidR="0031657C" w:rsidRPr="00DC2021">
              <w:rPr>
                <w:rFonts w:asciiTheme="minorHAnsi" w:hAnsiTheme="minorHAnsi" w:cs="Arial"/>
                <w:b/>
                <w:sz w:val="28"/>
                <w:szCs w:val="28"/>
              </w:rPr>
              <w:t>nemocnice –– 1 ks</w:t>
            </w:r>
          </w:p>
        </w:tc>
      </w:tr>
      <w:tr w:rsidR="00615491" w:rsidRPr="00DC2021" w14:paraId="5976E868" w14:textId="77777777" w:rsidTr="00A36BA3">
        <w:trPr>
          <w:tblHeader/>
        </w:trPr>
        <w:tc>
          <w:tcPr>
            <w:tcW w:w="4536" w:type="dxa"/>
            <w:shd w:val="clear" w:color="auto" w:fill="F7CAAC" w:themeFill="accent2" w:themeFillTint="66"/>
          </w:tcPr>
          <w:p w14:paraId="3467712F" w14:textId="77777777" w:rsidR="00615491" w:rsidRPr="00DC2021" w:rsidRDefault="00615491" w:rsidP="00A36BA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F009"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09503C" w:rsidRPr="00DC2021" w14:paraId="1A49DB9B" w14:textId="77777777" w:rsidTr="00A36BA3">
        <w:tc>
          <w:tcPr>
            <w:tcW w:w="4536" w:type="dxa"/>
            <w:shd w:val="clear" w:color="auto" w:fill="auto"/>
          </w:tcPr>
          <w:p w14:paraId="41BECFF9" w14:textId="512D41D7" w:rsidR="0009503C" w:rsidRDefault="00B74201" w:rsidP="0009503C">
            <w:pPr>
              <w:jc w:val="both"/>
              <w:rPr>
                <w:rFonts w:ascii="Calibri" w:hAnsi="Calibri"/>
                <w:szCs w:val="22"/>
              </w:rPr>
            </w:pPr>
            <w:r>
              <w:rPr>
                <w:rFonts w:ascii="Calibri" w:hAnsi="Calibri"/>
                <w:szCs w:val="22"/>
              </w:rPr>
              <w:t>Plynový chromatograf s hmotnostní detekcí</w:t>
            </w:r>
          </w:p>
        </w:tc>
        <w:tc>
          <w:tcPr>
            <w:tcW w:w="1276" w:type="dxa"/>
            <w:vAlign w:val="center"/>
          </w:tcPr>
          <w:p w14:paraId="503D566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288A2E"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2AA5D676" w14:textId="77777777" w:rsidTr="00A36BA3">
        <w:tc>
          <w:tcPr>
            <w:tcW w:w="4536" w:type="dxa"/>
            <w:shd w:val="clear" w:color="auto" w:fill="auto"/>
          </w:tcPr>
          <w:p w14:paraId="1E7A9B6F" w14:textId="049C83CB" w:rsidR="0009503C" w:rsidRDefault="007D4305" w:rsidP="0009503C">
            <w:pPr>
              <w:jc w:val="both"/>
            </w:pPr>
            <w:r>
              <w:t>Systém na bázi trojitého kvadrupólu</w:t>
            </w:r>
          </w:p>
        </w:tc>
        <w:tc>
          <w:tcPr>
            <w:tcW w:w="1276" w:type="dxa"/>
            <w:vAlign w:val="center"/>
          </w:tcPr>
          <w:p w14:paraId="60A9A7CC"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718F8"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D4305" w:rsidRPr="00DC2021" w14:paraId="2809B672" w14:textId="77777777" w:rsidTr="00A36BA3">
        <w:tc>
          <w:tcPr>
            <w:tcW w:w="4536" w:type="dxa"/>
            <w:shd w:val="clear" w:color="auto" w:fill="auto"/>
          </w:tcPr>
          <w:p w14:paraId="372123B7" w14:textId="5AE5F195" w:rsidR="007D4305" w:rsidRPr="007D4305" w:rsidRDefault="007D4305" w:rsidP="007D4305">
            <w:pPr>
              <w:pStyle w:val="Odstavecseseznamem"/>
              <w:numPr>
                <w:ilvl w:val="0"/>
                <w:numId w:val="36"/>
              </w:numPr>
              <w:jc w:val="both"/>
              <w:rPr>
                <w:rFonts w:cs="Arial"/>
                <w:szCs w:val="20"/>
              </w:rPr>
            </w:pPr>
            <w:r w:rsidRPr="007D4305">
              <w:rPr>
                <w:rFonts w:cs="Arial"/>
                <w:color w:val="333333"/>
                <w:szCs w:val="20"/>
              </w:rPr>
              <w:t>Max. rozlišení: 0.4 – 3.0 u</w:t>
            </w:r>
          </w:p>
        </w:tc>
        <w:tc>
          <w:tcPr>
            <w:tcW w:w="1276" w:type="dxa"/>
            <w:vAlign w:val="center"/>
          </w:tcPr>
          <w:p w14:paraId="0D63FBD3"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C0870C"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D4305" w:rsidRPr="00DC2021" w14:paraId="0E64622B" w14:textId="77777777" w:rsidTr="00A36BA3">
        <w:tc>
          <w:tcPr>
            <w:tcW w:w="4536" w:type="dxa"/>
            <w:shd w:val="clear" w:color="auto" w:fill="auto"/>
          </w:tcPr>
          <w:p w14:paraId="17A8FA26" w14:textId="4271D69E" w:rsidR="007D4305" w:rsidRPr="007D4305" w:rsidRDefault="007D4305" w:rsidP="007D4305">
            <w:pPr>
              <w:pStyle w:val="Odstavecseseznamem"/>
              <w:numPr>
                <w:ilvl w:val="0"/>
                <w:numId w:val="36"/>
              </w:numPr>
              <w:jc w:val="both"/>
              <w:rPr>
                <w:rFonts w:cs="Arial"/>
                <w:szCs w:val="20"/>
              </w:rPr>
            </w:pPr>
            <w:r w:rsidRPr="007D4305">
              <w:rPr>
                <w:rFonts w:cs="Arial"/>
                <w:color w:val="333333"/>
                <w:szCs w:val="20"/>
              </w:rPr>
              <w:t>Hm. rozsah: 10 – 1090 m/z</w:t>
            </w:r>
          </w:p>
        </w:tc>
        <w:tc>
          <w:tcPr>
            <w:tcW w:w="1276" w:type="dxa"/>
            <w:vAlign w:val="center"/>
          </w:tcPr>
          <w:p w14:paraId="48914943"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B477CB"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D4305" w:rsidRPr="00DC2021" w14:paraId="3AC81359" w14:textId="77777777" w:rsidTr="00A36BA3">
        <w:tc>
          <w:tcPr>
            <w:tcW w:w="4536" w:type="dxa"/>
          </w:tcPr>
          <w:p w14:paraId="3C16C0AC" w14:textId="24433E0C" w:rsidR="007D4305" w:rsidRPr="007D4305" w:rsidRDefault="007D4305" w:rsidP="007D4305">
            <w:pPr>
              <w:pStyle w:val="Odstavecseseznamem"/>
              <w:numPr>
                <w:ilvl w:val="0"/>
                <w:numId w:val="36"/>
              </w:numPr>
              <w:jc w:val="both"/>
              <w:rPr>
                <w:rFonts w:cs="Arial"/>
                <w:szCs w:val="20"/>
              </w:rPr>
            </w:pPr>
            <w:r w:rsidRPr="007D4305">
              <w:rPr>
                <w:rFonts w:cs="Arial"/>
                <w:color w:val="333333"/>
                <w:szCs w:val="20"/>
              </w:rPr>
              <w:t>Rychlost skenování – 20000 u/sec</w:t>
            </w:r>
          </w:p>
        </w:tc>
        <w:tc>
          <w:tcPr>
            <w:tcW w:w="1276" w:type="dxa"/>
            <w:vAlign w:val="center"/>
          </w:tcPr>
          <w:p w14:paraId="4FEA510A"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3BC34"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D4305" w:rsidRPr="00DC2021" w14:paraId="05DC110C" w14:textId="77777777" w:rsidTr="00A36BA3">
        <w:tc>
          <w:tcPr>
            <w:tcW w:w="4536" w:type="dxa"/>
          </w:tcPr>
          <w:p w14:paraId="289B0BEF" w14:textId="42B0133F" w:rsidR="007D4305" w:rsidRPr="007D4305" w:rsidRDefault="007D4305" w:rsidP="007D4305">
            <w:pPr>
              <w:pStyle w:val="Odstavecseseznamem"/>
              <w:numPr>
                <w:ilvl w:val="0"/>
                <w:numId w:val="36"/>
              </w:numPr>
              <w:jc w:val="both"/>
              <w:rPr>
                <w:rFonts w:cs="Arial"/>
                <w:szCs w:val="20"/>
              </w:rPr>
            </w:pPr>
            <w:r w:rsidRPr="007D4305">
              <w:rPr>
                <w:rFonts w:cs="Arial"/>
                <w:color w:val="333333"/>
                <w:szCs w:val="20"/>
              </w:rPr>
              <w:t>MRM rychlost max – 800 MRM</w:t>
            </w:r>
          </w:p>
        </w:tc>
        <w:tc>
          <w:tcPr>
            <w:tcW w:w="1276" w:type="dxa"/>
            <w:vAlign w:val="center"/>
          </w:tcPr>
          <w:p w14:paraId="5F25980E"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472ED2"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D4305" w:rsidRPr="00DC2021" w14:paraId="31A0558D" w14:textId="77777777" w:rsidTr="00A36BA3">
        <w:tc>
          <w:tcPr>
            <w:tcW w:w="4536" w:type="dxa"/>
          </w:tcPr>
          <w:p w14:paraId="6686BC45" w14:textId="77DF3D43" w:rsidR="007D4305" w:rsidRPr="007D4305" w:rsidRDefault="007D4305" w:rsidP="007D4305">
            <w:pPr>
              <w:pStyle w:val="Odstavecseseznamem"/>
              <w:numPr>
                <w:ilvl w:val="0"/>
                <w:numId w:val="36"/>
              </w:numPr>
              <w:jc w:val="both"/>
              <w:rPr>
                <w:rFonts w:cs="Arial"/>
                <w:szCs w:val="20"/>
              </w:rPr>
            </w:pPr>
            <w:r w:rsidRPr="007D4305">
              <w:rPr>
                <w:rFonts w:cs="Arial"/>
                <w:color w:val="333333"/>
                <w:szCs w:val="20"/>
              </w:rPr>
              <w:t xml:space="preserve">EI MRM IDL: 2 fg Octafluoronaphthalene m/z 272 </w:t>
            </w:r>
            <w:r w:rsidRPr="007D4305">
              <w:rPr>
                <w:rFonts w:cs="Arial"/>
                <w:color w:val="333333"/>
                <w:szCs w:val="20"/>
                <w:lang w:val="en-US"/>
              </w:rPr>
              <w:t xml:space="preserve">→ </w:t>
            </w:r>
            <w:r w:rsidRPr="007D4305">
              <w:rPr>
                <w:rFonts w:cs="Arial"/>
                <w:color w:val="333333"/>
                <w:szCs w:val="20"/>
              </w:rPr>
              <w:t>222 IDL ≤ 0.5 fg</w:t>
            </w:r>
          </w:p>
        </w:tc>
        <w:tc>
          <w:tcPr>
            <w:tcW w:w="1276" w:type="dxa"/>
            <w:vAlign w:val="center"/>
          </w:tcPr>
          <w:p w14:paraId="59F184C6"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D4305" w:rsidRPr="00DC2021" w14:paraId="69EF8B1E" w14:textId="77777777" w:rsidTr="00A36BA3">
        <w:tc>
          <w:tcPr>
            <w:tcW w:w="4536" w:type="dxa"/>
          </w:tcPr>
          <w:p w14:paraId="6EFED16B" w14:textId="4A3E2A53" w:rsidR="007D4305" w:rsidRPr="007D4305" w:rsidRDefault="007D4305" w:rsidP="007D4305">
            <w:pPr>
              <w:pStyle w:val="Odstavecseseznamem"/>
              <w:numPr>
                <w:ilvl w:val="0"/>
                <w:numId w:val="36"/>
              </w:numPr>
              <w:jc w:val="both"/>
              <w:rPr>
                <w:rFonts w:cs="Arial"/>
                <w:szCs w:val="20"/>
              </w:rPr>
            </w:pPr>
            <w:r w:rsidRPr="007D4305">
              <w:rPr>
                <w:rFonts w:cs="Arial"/>
                <w:color w:val="333333"/>
                <w:szCs w:val="20"/>
              </w:rPr>
              <w:t xml:space="preserve">EI MRM S/N: 100 fg Octafluoronaphthalene m/z 272 </w:t>
            </w:r>
            <w:r w:rsidRPr="007D4305">
              <w:rPr>
                <w:rFonts w:cs="Arial"/>
                <w:color w:val="333333"/>
                <w:szCs w:val="20"/>
                <w:lang w:val="en-US"/>
              </w:rPr>
              <w:t xml:space="preserve">→ </w:t>
            </w:r>
            <w:r w:rsidRPr="007D4305">
              <w:rPr>
                <w:rFonts w:cs="Arial"/>
                <w:color w:val="333333"/>
                <w:szCs w:val="20"/>
              </w:rPr>
              <w:t>222 S/N ≥ 40000</w:t>
            </w:r>
          </w:p>
        </w:tc>
        <w:tc>
          <w:tcPr>
            <w:tcW w:w="1276" w:type="dxa"/>
            <w:vAlign w:val="center"/>
          </w:tcPr>
          <w:p w14:paraId="40B4F5D9"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4868F6"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16A7E00C" w14:textId="77777777" w:rsidTr="00A36BA3">
        <w:trPr>
          <w:trHeight w:val="677"/>
        </w:trPr>
        <w:tc>
          <w:tcPr>
            <w:tcW w:w="4536" w:type="dxa"/>
          </w:tcPr>
          <w:p w14:paraId="505731DD" w14:textId="77777777" w:rsidR="007D4305" w:rsidRPr="00704D99" w:rsidRDefault="007D4305" w:rsidP="007D4305">
            <w:pPr>
              <w:shd w:val="clear" w:color="auto" w:fill="FFFFFF"/>
              <w:spacing w:before="100" w:beforeAutospacing="1" w:after="100" w:afterAutospacing="1"/>
              <w:rPr>
                <w:rFonts w:cs="Arial"/>
                <w:color w:val="333333"/>
                <w:szCs w:val="20"/>
                <w:lang w:val="en-US"/>
              </w:rPr>
            </w:pPr>
            <w:r w:rsidRPr="00704D99">
              <w:rPr>
                <w:rFonts w:cs="Arial"/>
                <w:color w:val="333333"/>
                <w:szCs w:val="20"/>
              </w:rPr>
              <w:lastRenderedPageBreak/>
              <w:t xml:space="preserve">Plynový chromatograf s SPL nástřikem </w:t>
            </w:r>
          </w:p>
          <w:p w14:paraId="25B8F184" w14:textId="0645CD55" w:rsidR="0009503C" w:rsidRPr="00704D99" w:rsidRDefault="0009503C" w:rsidP="0009503C">
            <w:pPr>
              <w:jc w:val="both"/>
              <w:rPr>
                <w:rFonts w:cs="Arial"/>
                <w:szCs w:val="20"/>
              </w:rPr>
            </w:pPr>
          </w:p>
        </w:tc>
        <w:tc>
          <w:tcPr>
            <w:tcW w:w="1276" w:type="dxa"/>
            <w:vAlign w:val="center"/>
          </w:tcPr>
          <w:p w14:paraId="431612D8"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DDC3A8"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D4305" w:rsidRPr="00DC2021" w14:paraId="7D3D9087" w14:textId="77777777" w:rsidTr="00A36BA3">
        <w:tc>
          <w:tcPr>
            <w:tcW w:w="4536" w:type="dxa"/>
          </w:tcPr>
          <w:p w14:paraId="414AE1EF" w14:textId="4AAC70D5" w:rsidR="007D4305" w:rsidRPr="00704D99" w:rsidRDefault="007D4305" w:rsidP="007D4305">
            <w:pPr>
              <w:jc w:val="both"/>
              <w:rPr>
                <w:rFonts w:cs="Arial"/>
                <w:szCs w:val="20"/>
              </w:rPr>
            </w:pPr>
            <w:r w:rsidRPr="00704D99">
              <w:rPr>
                <w:rFonts w:cs="Arial"/>
                <w:color w:val="333333"/>
                <w:szCs w:val="20"/>
              </w:rPr>
              <w:t>MS-MS detektor (TQ)</w:t>
            </w:r>
          </w:p>
        </w:tc>
        <w:tc>
          <w:tcPr>
            <w:tcW w:w="1276" w:type="dxa"/>
            <w:vAlign w:val="center"/>
          </w:tcPr>
          <w:p w14:paraId="70CA62CA"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3CDED7"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D4305" w:rsidRPr="00DC2021" w14:paraId="3D7F552D" w14:textId="77777777" w:rsidTr="00A36BA3">
        <w:tc>
          <w:tcPr>
            <w:tcW w:w="4536" w:type="dxa"/>
          </w:tcPr>
          <w:p w14:paraId="3DDE949D" w14:textId="54718A1F" w:rsidR="007D4305" w:rsidRPr="00704D99" w:rsidRDefault="007D4305" w:rsidP="007D4305">
            <w:pPr>
              <w:jc w:val="both"/>
              <w:rPr>
                <w:rFonts w:cs="Arial"/>
                <w:szCs w:val="20"/>
              </w:rPr>
            </w:pPr>
            <w:r w:rsidRPr="00704D99">
              <w:rPr>
                <w:rFonts w:cs="Arial"/>
                <w:color w:val="333333"/>
                <w:szCs w:val="20"/>
              </w:rPr>
              <w:t>Autosampler a autoinjektor na kapalné vzorky</w:t>
            </w:r>
          </w:p>
        </w:tc>
        <w:tc>
          <w:tcPr>
            <w:tcW w:w="1276" w:type="dxa"/>
            <w:vAlign w:val="center"/>
          </w:tcPr>
          <w:p w14:paraId="1EF81165"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C018AC" w14:textId="77777777" w:rsidR="007D4305" w:rsidRPr="00DC2021" w:rsidRDefault="007D4305" w:rsidP="007D430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775179F5" w14:textId="77777777" w:rsidTr="00A36BA3">
        <w:tc>
          <w:tcPr>
            <w:tcW w:w="4536" w:type="dxa"/>
          </w:tcPr>
          <w:p w14:paraId="58F37F41" w14:textId="7E9CF60E" w:rsidR="0009503C" w:rsidRPr="00704D99" w:rsidRDefault="007D4305" w:rsidP="007D4305">
            <w:pPr>
              <w:shd w:val="clear" w:color="auto" w:fill="FFFFFF"/>
              <w:spacing w:before="100" w:beforeAutospacing="1" w:after="100" w:afterAutospacing="1"/>
              <w:rPr>
                <w:rFonts w:cs="Arial"/>
                <w:color w:val="333333"/>
                <w:szCs w:val="20"/>
                <w:lang w:val="en-US"/>
              </w:rPr>
            </w:pPr>
            <w:r w:rsidRPr="00704D99">
              <w:rPr>
                <w:rFonts w:cs="Arial"/>
                <w:color w:val="333333"/>
                <w:szCs w:val="20"/>
              </w:rPr>
              <w:t xml:space="preserve">Autosampler na plynné vzorky typu HeadSpace s přímou krátkou vyhřívanou transferlinou do plynového chromatografu (odlišná technika než nástřik jehlou </w:t>
            </w:r>
            <w:r w:rsidR="00360AA4">
              <w:rPr>
                <w:rFonts w:cs="Arial"/>
                <w:color w:val="333333"/>
                <w:szCs w:val="20"/>
              </w:rPr>
              <w:t>pro</w:t>
            </w:r>
            <w:r w:rsidRPr="00704D99">
              <w:rPr>
                <w:rFonts w:cs="Arial"/>
                <w:color w:val="333333"/>
                <w:szCs w:val="20"/>
              </w:rPr>
              <w:t xml:space="preserve"> větší přesnost, menší ztrát</w:t>
            </w:r>
            <w:r w:rsidR="00360AA4">
              <w:rPr>
                <w:rFonts w:cs="Arial"/>
                <w:color w:val="333333"/>
                <w:szCs w:val="20"/>
              </w:rPr>
              <w:t>u</w:t>
            </w:r>
            <w:r w:rsidRPr="00704D99">
              <w:rPr>
                <w:rFonts w:cs="Arial"/>
                <w:color w:val="333333"/>
                <w:szCs w:val="20"/>
              </w:rPr>
              <w:t xml:space="preserve"> vzorku,</w:t>
            </w:r>
            <w:r w:rsidR="00360AA4">
              <w:rPr>
                <w:rFonts w:cs="Arial"/>
                <w:color w:val="333333"/>
                <w:szCs w:val="20"/>
              </w:rPr>
              <w:t xml:space="preserve"> </w:t>
            </w:r>
            <w:r w:rsidRPr="00704D99">
              <w:rPr>
                <w:rFonts w:cs="Arial"/>
                <w:color w:val="333333"/>
                <w:szCs w:val="20"/>
              </w:rPr>
              <w:t>atd.) na bázi smyčky (loop)</w:t>
            </w:r>
          </w:p>
        </w:tc>
        <w:tc>
          <w:tcPr>
            <w:tcW w:w="1276" w:type="dxa"/>
            <w:vAlign w:val="center"/>
          </w:tcPr>
          <w:p w14:paraId="1065CDA3"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8EA4B5"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5044A544" w14:textId="77777777" w:rsidTr="00A36BA3">
        <w:tc>
          <w:tcPr>
            <w:tcW w:w="4536" w:type="dxa"/>
          </w:tcPr>
          <w:p w14:paraId="0BC0B3C7" w14:textId="60C96721" w:rsidR="0009503C" w:rsidRPr="00704D99" w:rsidRDefault="00C83D5E" w:rsidP="0009503C">
            <w:pPr>
              <w:jc w:val="both"/>
              <w:rPr>
                <w:rFonts w:cs="Arial"/>
                <w:szCs w:val="20"/>
              </w:rPr>
            </w:pPr>
            <w:r w:rsidRPr="00704D99">
              <w:rPr>
                <w:rFonts w:cs="Arial"/>
                <w:color w:val="333333"/>
                <w:szCs w:val="20"/>
              </w:rPr>
              <w:t>Chytré databáze pro forensní vědu a metabolity</w:t>
            </w:r>
          </w:p>
        </w:tc>
        <w:tc>
          <w:tcPr>
            <w:tcW w:w="1276" w:type="dxa"/>
            <w:vAlign w:val="center"/>
          </w:tcPr>
          <w:p w14:paraId="7ABD91DC"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91AA71"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07D67099" w14:textId="77777777" w:rsidTr="00A36BA3">
        <w:tc>
          <w:tcPr>
            <w:tcW w:w="4536" w:type="dxa"/>
          </w:tcPr>
          <w:p w14:paraId="7484F0F9" w14:textId="236930E5" w:rsidR="0009503C" w:rsidRPr="00704D99" w:rsidRDefault="00C83D5E" w:rsidP="0009503C">
            <w:pPr>
              <w:jc w:val="both"/>
              <w:rPr>
                <w:rFonts w:cs="Arial"/>
                <w:szCs w:val="20"/>
              </w:rPr>
            </w:pPr>
            <w:r w:rsidRPr="00704D99">
              <w:rPr>
                <w:rFonts w:cs="Arial"/>
                <w:color w:val="333333"/>
                <w:szCs w:val="20"/>
              </w:rPr>
              <w:t>Řídící a vyhodnocovací Software jak pro systém, tak pro samplery</w:t>
            </w:r>
          </w:p>
        </w:tc>
        <w:tc>
          <w:tcPr>
            <w:tcW w:w="1276" w:type="dxa"/>
            <w:vAlign w:val="center"/>
          </w:tcPr>
          <w:p w14:paraId="2B1D8768"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E05981"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6BBCB98E" w14:textId="77777777" w:rsidTr="00A36BA3">
        <w:tc>
          <w:tcPr>
            <w:tcW w:w="4536" w:type="dxa"/>
          </w:tcPr>
          <w:p w14:paraId="48AA630A" w14:textId="3A9975CC" w:rsidR="0009503C" w:rsidRPr="00704D99" w:rsidRDefault="00C83D5E" w:rsidP="0009503C">
            <w:pPr>
              <w:jc w:val="both"/>
              <w:rPr>
                <w:rFonts w:cs="Arial"/>
                <w:szCs w:val="20"/>
              </w:rPr>
            </w:pPr>
            <w:r w:rsidRPr="00704D99">
              <w:rPr>
                <w:rFonts w:cs="Arial"/>
                <w:color w:val="333333"/>
                <w:szCs w:val="20"/>
              </w:rPr>
              <w:t>S</w:t>
            </w:r>
            <w:r>
              <w:rPr>
                <w:rFonts w:cs="Arial"/>
                <w:color w:val="333333"/>
                <w:szCs w:val="20"/>
              </w:rPr>
              <w:t>ada s</w:t>
            </w:r>
            <w:r w:rsidRPr="00704D99">
              <w:rPr>
                <w:rFonts w:cs="Arial"/>
                <w:color w:val="333333"/>
                <w:szCs w:val="20"/>
              </w:rPr>
              <w:t>potřební</w:t>
            </w:r>
            <w:r>
              <w:rPr>
                <w:rFonts w:cs="Arial"/>
                <w:color w:val="333333"/>
                <w:szCs w:val="20"/>
              </w:rPr>
              <w:t>ho materiálu pro startovní provoz 12 měsíců</w:t>
            </w:r>
          </w:p>
        </w:tc>
        <w:tc>
          <w:tcPr>
            <w:tcW w:w="1276" w:type="dxa"/>
            <w:vAlign w:val="center"/>
          </w:tcPr>
          <w:p w14:paraId="4BA65F15"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9A8A69"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1A64FC39" w14:textId="77777777" w:rsidTr="00A36BA3">
        <w:trPr>
          <w:trHeight w:val="858"/>
        </w:trPr>
        <w:tc>
          <w:tcPr>
            <w:tcW w:w="4536" w:type="dxa"/>
          </w:tcPr>
          <w:p w14:paraId="42276D81" w14:textId="3064F8B7" w:rsidR="0009503C" w:rsidRPr="00704D99" w:rsidRDefault="00C83D5E" w:rsidP="0009503C">
            <w:pPr>
              <w:jc w:val="both"/>
              <w:rPr>
                <w:rFonts w:cs="Arial"/>
                <w:szCs w:val="20"/>
              </w:rPr>
            </w:pPr>
            <w:r>
              <w:rPr>
                <w:rFonts w:cs="Arial"/>
                <w:color w:val="333333"/>
                <w:szCs w:val="20"/>
              </w:rPr>
              <w:t xml:space="preserve">Kompletní </w:t>
            </w:r>
            <w:r w:rsidRPr="00704D99">
              <w:rPr>
                <w:rFonts w:cs="Arial"/>
                <w:color w:val="333333"/>
                <w:szCs w:val="20"/>
              </w:rPr>
              <w:t>P</w:t>
            </w:r>
            <w:r>
              <w:rPr>
                <w:rFonts w:cs="Arial"/>
                <w:color w:val="333333"/>
                <w:szCs w:val="20"/>
              </w:rPr>
              <w:t xml:space="preserve">C sestava vč. </w:t>
            </w:r>
            <w:r w:rsidR="00FE6336">
              <w:rPr>
                <w:rFonts w:cs="Arial"/>
                <w:color w:val="333333"/>
                <w:szCs w:val="20"/>
              </w:rPr>
              <w:t xml:space="preserve">plochého </w:t>
            </w:r>
            <w:r w:rsidRPr="00704D99">
              <w:rPr>
                <w:rFonts w:cs="Arial"/>
                <w:color w:val="333333"/>
                <w:szCs w:val="20"/>
              </w:rPr>
              <w:t>monitor</w:t>
            </w:r>
            <w:r>
              <w:rPr>
                <w:rFonts w:cs="Arial"/>
                <w:color w:val="333333"/>
                <w:szCs w:val="20"/>
              </w:rPr>
              <w:t>u</w:t>
            </w:r>
            <w:r w:rsidRPr="00704D99">
              <w:rPr>
                <w:rFonts w:cs="Arial"/>
                <w:color w:val="333333"/>
                <w:szCs w:val="20"/>
              </w:rPr>
              <w:t xml:space="preserve"> </w:t>
            </w:r>
            <w:r>
              <w:rPr>
                <w:rFonts w:cs="Arial"/>
                <w:color w:val="333333"/>
                <w:szCs w:val="20"/>
              </w:rPr>
              <w:t>a</w:t>
            </w:r>
            <w:r w:rsidRPr="00704D99">
              <w:rPr>
                <w:rFonts w:cs="Arial"/>
                <w:color w:val="333333"/>
                <w:szCs w:val="20"/>
              </w:rPr>
              <w:t xml:space="preserve"> tiskárn</w:t>
            </w:r>
            <w:r>
              <w:rPr>
                <w:rFonts w:cs="Arial"/>
                <w:color w:val="333333"/>
                <w:szCs w:val="20"/>
              </w:rPr>
              <w:t>y</w:t>
            </w:r>
          </w:p>
        </w:tc>
        <w:tc>
          <w:tcPr>
            <w:tcW w:w="1276" w:type="dxa"/>
            <w:vAlign w:val="center"/>
          </w:tcPr>
          <w:p w14:paraId="7DA0BD82"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9327A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6D88628E" w14:textId="77777777" w:rsidTr="00A36BA3">
        <w:tc>
          <w:tcPr>
            <w:tcW w:w="4536" w:type="dxa"/>
          </w:tcPr>
          <w:p w14:paraId="2F2CE648" w14:textId="672BAA3F" w:rsidR="0009503C" w:rsidRPr="00704D99" w:rsidRDefault="00C83D5E" w:rsidP="0009503C">
            <w:pPr>
              <w:jc w:val="both"/>
              <w:rPr>
                <w:rFonts w:cs="Arial"/>
                <w:szCs w:val="20"/>
              </w:rPr>
            </w:pPr>
            <w:r w:rsidRPr="00C83D5E">
              <w:rPr>
                <w:rFonts w:cs="Arial"/>
                <w:color w:val="333333"/>
                <w:szCs w:val="20"/>
              </w:rPr>
              <w:t>Operační systém Windows 10 Professional CZ</w:t>
            </w:r>
          </w:p>
        </w:tc>
        <w:tc>
          <w:tcPr>
            <w:tcW w:w="1276" w:type="dxa"/>
            <w:vAlign w:val="center"/>
          </w:tcPr>
          <w:p w14:paraId="688B2E3F"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7A1BC6"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7A046634" w14:textId="77777777" w:rsidTr="00A36BA3">
        <w:tc>
          <w:tcPr>
            <w:tcW w:w="4536" w:type="dxa"/>
          </w:tcPr>
          <w:p w14:paraId="2439C372" w14:textId="10B406E4" w:rsidR="0009503C" w:rsidRPr="00704D99" w:rsidRDefault="007D4305" w:rsidP="0009503C">
            <w:pPr>
              <w:jc w:val="both"/>
              <w:rPr>
                <w:rFonts w:cs="Arial"/>
                <w:szCs w:val="20"/>
              </w:rPr>
            </w:pPr>
            <w:r w:rsidRPr="00704D99">
              <w:rPr>
                <w:rFonts w:cs="Arial"/>
                <w:color w:val="333333"/>
                <w:szCs w:val="20"/>
              </w:rPr>
              <w:t>Validace systému a SW</w:t>
            </w:r>
          </w:p>
        </w:tc>
        <w:tc>
          <w:tcPr>
            <w:tcW w:w="1276" w:type="dxa"/>
            <w:vAlign w:val="center"/>
          </w:tcPr>
          <w:p w14:paraId="570BA895"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4F307F"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8317C" w:rsidRPr="00DC2021" w14:paraId="0FE55872" w14:textId="77777777" w:rsidTr="00A36BA3">
        <w:tc>
          <w:tcPr>
            <w:tcW w:w="4536" w:type="dxa"/>
          </w:tcPr>
          <w:p w14:paraId="535D6CE9" w14:textId="7E46460C" w:rsidR="00F8317C" w:rsidRPr="00704D99" w:rsidRDefault="00885A25" w:rsidP="00F8317C">
            <w:pPr>
              <w:jc w:val="both"/>
              <w:rPr>
                <w:rFonts w:cs="Arial"/>
                <w:color w:val="333333"/>
                <w:szCs w:val="20"/>
              </w:rPr>
            </w:pPr>
            <w:r>
              <w:rPr>
                <w:rFonts w:cs="Arial"/>
                <w:color w:val="333333"/>
                <w:szCs w:val="20"/>
              </w:rPr>
              <w:t xml:space="preserve">Zavedení/vývoj </w:t>
            </w:r>
            <w:r w:rsidR="00F8317C">
              <w:rPr>
                <w:rFonts w:cs="Arial"/>
                <w:color w:val="333333"/>
                <w:szCs w:val="20"/>
              </w:rPr>
              <w:t>metod</w:t>
            </w:r>
            <w:r>
              <w:rPr>
                <w:rFonts w:cs="Arial"/>
                <w:color w:val="333333"/>
                <w:szCs w:val="20"/>
              </w:rPr>
              <w:t xml:space="preserve"> a aplikační školení</w:t>
            </w:r>
          </w:p>
        </w:tc>
        <w:tc>
          <w:tcPr>
            <w:tcW w:w="1276" w:type="dxa"/>
            <w:vAlign w:val="center"/>
          </w:tcPr>
          <w:p w14:paraId="42280E0C" w14:textId="0A7A82F8" w:rsidR="00F8317C" w:rsidRPr="00DC2021" w:rsidRDefault="00F8317C" w:rsidP="00F8317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5AFAF50" w14:textId="18FF1446" w:rsidR="00F8317C" w:rsidRPr="00DC2021" w:rsidRDefault="00F8317C" w:rsidP="00F8317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164CB186" w14:textId="77777777" w:rsidTr="00A36BA3">
        <w:tc>
          <w:tcPr>
            <w:tcW w:w="4536" w:type="dxa"/>
          </w:tcPr>
          <w:p w14:paraId="15D1D2A7" w14:textId="3F224CDD" w:rsidR="0009503C" w:rsidRPr="00704D99" w:rsidRDefault="00885A25" w:rsidP="0009503C">
            <w:pPr>
              <w:jc w:val="both"/>
              <w:rPr>
                <w:rFonts w:cs="Arial"/>
                <w:szCs w:val="20"/>
              </w:rPr>
            </w:pPr>
            <w:r w:rsidRPr="00704D99">
              <w:rPr>
                <w:rFonts w:cs="Arial"/>
                <w:color w:val="333333"/>
                <w:szCs w:val="20"/>
              </w:rPr>
              <w:t xml:space="preserve">Knihovny </w:t>
            </w:r>
            <w:r>
              <w:rPr>
                <w:rFonts w:cs="Arial"/>
                <w:color w:val="333333"/>
                <w:szCs w:val="20"/>
              </w:rPr>
              <w:t xml:space="preserve">MS </w:t>
            </w:r>
            <w:r w:rsidRPr="00704D99">
              <w:rPr>
                <w:rFonts w:cs="Arial"/>
                <w:color w:val="333333"/>
                <w:szCs w:val="20"/>
              </w:rPr>
              <w:t>spekter</w:t>
            </w:r>
          </w:p>
        </w:tc>
        <w:tc>
          <w:tcPr>
            <w:tcW w:w="1276" w:type="dxa"/>
            <w:vAlign w:val="center"/>
          </w:tcPr>
          <w:p w14:paraId="2D8B0A9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2205FE"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503C" w:rsidRPr="00DC2021" w14:paraId="34CBAF7F" w14:textId="77777777" w:rsidTr="00A36BA3">
        <w:tc>
          <w:tcPr>
            <w:tcW w:w="4536" w:type="dxa"/>
          </w:tcPr>
          <w:p w14:paraId="2B7D05C2" w14:textId="4955454D" w:rsidR="0009503C" w:rsidRDefault="00885A25" w:rsidP="0009503C">
            <w:pPr>
              <w:jc w:val="both"/>
            </w:pPr>
            <w:r w:rsidRPr="00704D99">
              <w:rPr>
                <w:rFonts w:cs="Arial"/>
                <w:color w:val="333333"/>
                <w:szCs w:val="20"/>
              </w:rPr>
              <w:t xml:space="preserve">UPS </w:t>
            </w:r>
            <w:r w:rsidR="00E83F5F">
              <w:rPr>
                <w:rFonts w:cs="Arial"/>
                <w:color w:val="333333"/>
                <w:szCs w:val="20"/>
              </w:rPr>
              <w:t>s kapacitou na min. 5 minut provozu celého systému při výpadku el. energie</w:t>
            </w:r>
          </w:p>
        </w:tc>
        <w:tc>
          <w:tcPr>
            <w:tcW w:w="1276" w:type="dxa"/>
            <w:vAlign w:val="center"/>
          </w:tcPr>
          <w:p w14:paraId="7652BCB7"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1E9F21" w14:textId="77777777" w:rsidR="0009503C" w:rsidRPr="00DC2021" w:rsidRDefault="0009503C" w:rsidP="0009503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83D5E" w:rsidRPr="00DC2021" w14:paraId="0F6A02A9" w14:textId="77777777" w:rsidTr="00A36BA3">
        <w:tc>
          <w:tcPr>
            <w:tcW w:w="4536" w:type="dxa"/>
          </w:tcPr>
          <w:p w14:paraId="0518744E" w14:textId="17F87887" w:rsidR="00C83D5E" w:rsidRDefault="00C83D5E" w:rsidP="00C83D5E">
            <w:pPr>
              <w:jc w:val="both"/>
            </w:pPr>
            <w:r>
              <w:t>Součástí dodávky je na</w:t>
            </w:r>
            <w:r w:rsidRPr="000E1A53">
              <w:t xml:space="preserve">pojení do LIS </w:t>
            </w:r>
            <w:r>
              <w:t>a NIS nemocnice, pro maximální požadovanou komunikaci</w:t>
            </w:r>
          </w:p>
        </w:tc>
        <w:tc>
          <w:tcPr>
            <w:tcW w:w="1276" w:type="dxa"/>
            <w:vAlign w:val="center"/>
          </w:tcPr>
          <w:p w14:paraId="16328DA9" w14:textId="77777777" w:rsidR="00C83D5E" w:rsidRPr="00DC2021" w:rsidRDefault="00C83D5E" w:rsidP="00C83D5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713E26" w14:textId="77777777" w:rsidR="00C83D5E" w:rsidRPr="00DC2021" w:rsidRDefault="00C83D5E" w:rsidP="00C83D5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83D5E" w:rsidRPr="00DC2021" w14:paraId="0273A7E8" w14:textId="77777777" w:rsidTr="00A36BA3">
        <w:tc>
          <w:tcPr>
            <w:tcW w:w="4536" w:type="dxa"/>
          </w:tcPr>
          <w:p w14:paraId="490E7B3B" w14:textId="235BB687" w:rsidR="00C83D5E" w:rsidRDefault="00C83D5E" w:rsidP="00C83D5E">
            <w:pPr>
              <w:jc w:val="both"/>
            </w:pPr>
            <w:r w:rsidRPr="003C5C75">
              <w:t>Pro veškerý dodávaný software musí být licence správně uvedena na faktuře, pro prokázání správného nabytí licence</w:t>
            </w:r>
          </w:p>
        </w:tc>
        <w:tc>
          <w:tcPr>
            <w:tcW w:w="1276" w:type="dxa"/>
            <w:vAlign w:val="center"/>
          </w:tcPr>
          <w:p w14:paraId="4B9A6C8F" w14:textId="77777777" w:rsidR="00C83D5E" w:rsidRPr="00DC2021" w:rsidRDefault="00C83D5E" w:rsidP="00C83D5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4399E3" w14:textId="77777777" w:rsidR="00C83D5E" w:rsidRPr="00DC2021" w:rsidRDefault="00C83D5E" w:rsidP="00C83D5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67220695" w14:textId="77777777" w:rsidR="00D370BE" w:rsidRPr="00DC2021" w:rsidRDefault="00D370BE" w:rsidP="002A27EE">
      <w:pPr>
        <w:rPr>
          <w:rFonts w:asciiTheme="minorHAnsi" w:hAnsiTheme="minorHAnsi"/>
          <w:lang w:eastAsia="en-US"/>
        </w:rPr>
      </w:pPr>
    </w:p>
    <w:p w14:paraId="1F637FA3" w14:textId="4567929B" w:rsidR="00D7314B" w:rsidRDefault="00D7314B" w:rsidP="00D7314B">
      <w:pPr>
        <w:pStyle w:val="Nadpis2"/>
        <w:spacing w:before="240"/>
        <w:rPr>
          <w:rFonts w:asciiTheme="minorHAnsi" w:hAnsiTheme="minorHAnsi"/>
          <w:sz w:val="22"/>
          <w:szCs w:val="22"/>
        </w:rPr>
      </w:pPr>
      <w:r w:rsidRPr="00531451">
        <w:rPr>
          <w:rFonts w:asciiTheme="minorHAnsi" w:hAnsiTheme="minorHAnsi"/>
          <w:sz w:val="22"/>
          <w:szCs w:val="22"/>
        </w:rPr>
        <w:t>Na všechny číselné parametry je tolerance +/- 10%</w:t>
      </w:r>
      <w:r w:rsidR="00531451">
        <w:rPr>
          <w:rFonts w:asciiTheme="minorHAnsi" w:hAnsiTheme="minorHAnsi"/>
          <w:sz w:val="22"/>
          <w:szCs w:val="22"/>
        </w:rPr>
        <w:t>.</w:t>
      </w:r>
    </w:p>
    <w:p w14:paraId="44D90A0B" w14:textId="5563226F" w:rsidR="001623C7" w:rsidRDefault="001623C7" w:rsidP="001623C7">
      <w:pPr>
        <w:rPr>
          <w:lang w:eastAsia="en-US"/>
        </w:rPr>
      </w:pPr>
    </w:p>
    <w:p w14:paraId="79509666" w14:textId="77777777" w:rsidR="001623C7" w:rsidRPr="001623C7" w:rsidRDefault="001623C7" w:rsidP="001623C7">
      <w:pPr>
        <w:rPr>
          <w:lang w:eastAsia="en-US"/>
        </w:rPr>
      </w:pPr>
    </w:p>
    <w:p w14:paraId="7FEF7ACE" w14:textId="214735B0" w:rsidR="001623C7" w:rsidRDefault="001623C7" w:rsidP="001623C7">
      <w:pPr>
        <w:rPr>
          <w:lang w:eastAsia="en-US"/>
        </w:rPr>
      </w:pPr>
    </w:p>
    <w:p w14:paraId="4D3DBEB4" w14:textId="5E289279" w:rsidR="001623C7" w:rsidRDefault="001623C7" w:rsidP="001623C7">
      <w:pPr>
        <w:pStyle w:val="Nadpis5"/>
        <w:rPr>
          <w:bCs/>
          <w:lang w:eastAsia="en-US"/>
        </w:rPr>
      </w:pPr>
      <w:r>
        <w:rPr>
          <w:bCs/>
          <w:lang w:eastAsia="en-US"/>
        </w:rPr>
        <w:t xml:space="preserve">B) Požadavky, které budou součástí dodávky předmětu plnění </w:t>
      </w:r>
    </w:p>
    <w:p w14:paraId="54C9EA9D" w14:textId="77777777" w:rsidR="001623C7" w:rsidRDefault="001623C7" w:rsidP="001623C7">
      <w:pPr>
        <w:rPr>
          <w:lang w:eastAsia="en-US"/>
        </w:rPr>
      </w:pPr>
    </w:p>
    <w:p w14:paraId="43E3565D" w14:textId="613A601A" w:rsidR="001623C7" w:rsidRPr="001623C7" w:rsidRDefault="001623C7" w:rsidP="001623C7">
      <w:pPr>
        <w:rPr>
          <w:lang w:eastAsia="en-US"/>
        </w:rPr>
      </w:pPr>
      <w:r>
        <w:rPr>
          <w:lang w:eastAsia="en-US"/>
        </w:rPr>
        <w:t>DODAVATEL MÁ POVINNOST VYPLNIT SPLNĚNÍ POŽADAVKU V TABULCE ANO/NE. SPNĚNÍ UVEDENÝCH POŽADAVKŮ POŽADUJE ZADAVATEL V RÁMCI DODÁVKY PŘEDMĚTU PLNĚNÍ.</w:t>
      </w:r>
    </w:p>
    <w:p w14:paraId="47244D35" w14:textId="77777777" w:rsidR="00D7314B" w:rsidRPr="00DC2021" w:rsidRDefault="00D7314B"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3B34E67D" w:rsidR="0065447C" w:rsidRPr="00DC2021" w:rsidRDefault="001623C7"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t>Požadavky, které budou součástí dodávky předmětu plnění</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50A36" w14:textId="77777777" w:rsidR="000C4921" w:rsidRDefault="000C4921">
      <w:r>
        <w:separator/>
      </w:r>
    </w:p>
  </w:endnote>
  <w:endnote w:type="continuationSeparator" w:id="0">
    <w:p w14:paraId="0CC7A522" w14:textId="77777777" w:rsidR="000C4921" w:rsidRDefault="000C4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C38BC55" w14:textId="4B2CD648" w:rsidR="000C4921" w:rsidRPr="00CA2983" w:rsidRDefault="000C4921"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1D0261">
          <w:rPr>
            <w:rFonts w:ascii="Calibri" w:hAnsi="Calibri" w:cs="Calibri"/>
            <w:szCs w:val="20"/>
          </w:rPr>
          <w:t>Laboratorní medicína</w:t>
        </w:r>
        <w:r w:rsidRPr="00CA2983">
          <w:rPr>
            <w:rFonts w:ascii="Calibri" w:hAnsi="Calibri" w:cs="Calibri"/>
            <w:szCs w:val="20"/>
          </w:rPr>
          <w:t xml:space="preserve">“, </w:t>
        </w:r>
      </w:p>
      <w:p w14:paraId="479DD3BB" w14:textId="39C0C81D" w:rsidR="000C4921" w:rsidRPr="00CA2983" w:rsidRDefault="000C4921"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sidR="006473E4">
          <w:rPr>
            <w:rFonts w:ascii="Calibri" w:hAnsi="Calibri" w:cs="Calibri"/>
            <w:szCs w:val="20"/>
          </w:rPr>
          <w:t>4</w:t>
        </w:r>
        <w:r w:rsidR="001D0261">
          <w:rPr>
            <w:rFonts w:ascii="Calibri" w:hAnsi="Calibri" w:cs="Calibri"/>
            <w:szCs w:val="20"/>
          </w:rPr>
          <w:t>6</w:t>
        </w:r>
        <w:r w:rsidRPr="00CA2983">
          <w:rPr>
            <w:rFonts w:ascii="Calibri" w:hAnsi="Calibri" w:cs="Calibri"/>
            <w:szCs w:val="20"/>
          </w:rPr>
          <w:t xml:space="preserve">                                                                             </w:t>
        </w:r>
      </w:p>
      <w:p w14:paraId="0CD09862" w14:textId="77777777" w:rsidR="000C4921" w:rsidRDefault="000C4921"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0C4921" w:rsidRPr="00855DB3" w:rsidRDefault="000C4921"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23CD4" w14:textId="77777777" w:rsidR="000C4921" w:rsidRDefault="000C4921">
      <w:r>
        <w:separator/>
      </w:r>
    </w:p>
  </w:footnote>
  <w:footnote w:type="continuationSeparator" w:id="0">
    <w:p w14:paraId="646D8DD6" w14:textId="77777777" w:rsidR="000C4921" w:rsidRDefault="000C4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0C4921" w:rsidRDefault="000C4921"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1"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4DEA3C98"/>
    <w:multiLevelType w:val="hybridMultilevel"/>
    <w:tmpl w:val="971CA6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2"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3"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9"/>
  </w:num>
  <w:num w:numId="3">
    <w:abstractNumId w:val="34"/>
  </w:num>
  <w:num w:numId="4">
    <w:abstractNumId w:val="12"/>
  </w:num>
  <w:num w:numId="5">
    <w:abstractNumId w:val="6"/>
  </w:num>
  <w:num w:numId="6">
    <w:abstractNumId w:val="14"/>
  </w:num>
  <w:num w:numId="7">
    <w:abstractNumId w:val="14"/>
  </w:num>
  <w:num w:numId="8">
    <w:abstractNumId w:val="33"/>
  </w:num>
  <w:num w:numId="9">
    <w:abstractNumId w:val="2"/>
  </w:num>
  <w:num w:numId="10">
    <w:abstractNumId w:val="26"/>
  </w:num>
  <w:num w:numId="11">
    <w:abstractNumId w:val="24"/>
  </w:num>
  <w:num w:numId="12">
    <w:abstractNumId w:val="31"/>
  </w:num>
  <w:num w:numId="13">
    <w:abstractNumId w:val="7"/>
  </w:num>
  <w:num w:numId="14">
    <w:abstractNumId w:val="28"/>
  </w:num>
  <w:num w:numId="15">
    <w:abstractNumId w:val="30"/>
  </w:num>
  <w:num w:numId="16">
    <w:abstractNumId w:val="16"/>
  </w:num>
  <w:num w:numId="17">
    <w:abstractNumId w:val="21"/>
  </w:num>
  <w:num w:numId="18">
    <w:abstractNumId w:val="9"/>
  </w:num>
  <w:num w:numId="19">
    <w:abstractNumId w:val="25"/>
  </w:num>
  <w:num w:numId="20">
    <w:abstractNumId w:val="32"/>
  </w:num>
  <w:num w:numId="21">
    <w:abstractNumId w:val="23"/>
  </w:num>
  <w:num w:numId="22">
    <w:abstractNumId w:val="4"/>
  </w:num>
  <w:num w:numId="23">
    <w:abstractNumId w:val="8"/>
  </w:num>
  <w:num w:numId="24">
    <w:abstractNumId w:val="22"/>
  </w:num>
  <w:num w:numId="25">
    <w:abstractNumId w:val="27"/>
  </w:num>
  <w:num w:numId="26">
    <w:abstractNumId w:val="18"/>
  </w:num>
  <w:num w:numId="27">
    <w:abstractNumId w:val="10"/>
  </w:num>
  <w:num w:numId="28">
    <w:abstractNumId w:val="0"/>
  </w:num>
  <w:num w:numId="29">
    <w:abstractNumId w:val="5"/>
  </w:num>
  <w:num w:numId="30">
    <w:abstractNumId w:val="3"/>
  </w:num>
  <w:num w:numId="31">
    <w:abstractNumId w:val="13"/>
  </w:num>
  <w:num w:numId="32">
    <w:abstractNumId w:val="11"/>
  </w:num>
  <w:num w:numId="33">
    <w:abstractNumId w:val="20"/>
  </w:num>
  <w:num w:numId="34">
    <w:abstractNumId w:val="19"/>
  </w:num>
  <w:num w:numId="35">
    <w:abstractNumId w:val="17"/>
  </w:num>
  <w:num w:numId="36">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7F49"/>
    <w:rsid w:val="00035A0E"/>
    <w:rsid w:val="0003624C"/>
    <w:rsid w:val="000437B4"/>
    <w:rsid w:val="00052D89"/>
    <w:rsid w:val="000645CC"/>
    <w:rsid w:val="0006781A"/>
    <w:rsid w:val="00074528"/>
    <w:rsid w:val="00084ED8"/>
    <w:rsid w:val="0008758E"/>
    <w:rsid w:val="00094F6C"/>
    <w:rsid w:val="0009503C"/>
    <w:rsid w:val="000970C0"/>
    <w:rsid w:val="000A1ECC"/>
    <w:rsid w:val="000A20C8"/>
    <w:rsid w:val="000A3B26"/>
    <w:rsid w:val="000B179B"/>
    <w:rsid w:val="000B3193"/>
    <w:rsid w:val="000C1F62"/>
    <w:rsid w:val="000C1FBC"/>
    <w:rsid w:val="000C28E6"/>
    <w:rsid w:val="000C4921"/>
    <w:rsid w:val="000C6A3F"/>
    <w:rsid w:val="000C71E4"/>
    <w:rsid w:val="000D436E"/>
    <w:rsid w:val="000E1014"/>
    <w:rsid w:val="000E686D"/>
    <w:rsid w:val="000F24DE"/>
    <w:rsid w:val="000F486F"/>
    <w:rsid w:val="001036F7"/>
    <w:rsid w:val="0011003F"/>
    <w:rsid w:val="00111FF7"/>
    <w:rsid w:val="001258AB"/>
    <w:rsid w:val="00125E54"/>
    <w:rsid w:val="00127285"/>
    <w:rsid w:val="00136081"/>
    <w:rsid w:val="001623C7"/>
    <w:rsid w:val="001770B9"/>
    <w:rsid w:val="00185540"/>
    <w:rsid w:val="00191ADF"/>
    <w:rsid w:val="0019452C"/>
    <w:rsid w:val="00197A5B"/>
    <w:rsid w:val="001A75A1"/>
    <w:rsid w:val="001D0261"/>
    <w:rsid w:val="001D1372"/>
    <w:rsid w:val="001D3BFB"/>
    <w:rsid w:val="001E427D"/>
    <w:rsid w:val="001F2952"/>
    <w:rsid w:val="00205BFD"/>
    <w:rsid w:val="00205EE2"/>
    <w:rsid w:val="00214C1D"/>
    <w:rsid w:val="00226F44"/>
    <w:rsid w:val="002476E6"/>
    <w:rsid w:val="002666F5"/>
    <w:rsid w:val="00280A80"/>
    <w:rsid w:val="002A27EE"/>
    <w:rsid w:val="002B39F1"/>
    <w:rsid w:val="002C543B"/>
    <w:rsid w:val="002C5A20"/>
    <w:rsid w:val="002D0847"/>
    <w:rsid w:val="002D4509"/>
    <w:rsid w:val="002E5F2E"/>
    <w:rsid w:val="002E6F56"/>
    <w:rsid w:val="00303205"/>
    <w:rsid w:val="0031657C"/>
    <w:rsid w:val="003448C0"/>
    <w:rsid w:val="00345B5A"/>
    <w:rsid w:val="00360AA4"/>
    <w:rsid w:val="00361D5A"/>
    <w:rsid w:val="00381B11"/>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A0B0D"/>
    <w:rsid w:val="004A3D79"/>
    <w:rsid w:val="004C57F4"/>
    <w:rsid w:val="004C65DC"/>
    <w:rsid w:val="004C7980"/>
    <w:rsid w:val="004D2DB6"/>
    <w:rsid w:val="004F5479"/>
    <w:rsid w:val="004F69D1"/>
    <w:rsid w:val="00504A9F"/>
    <w:rsid w:val="00521903"/>
    <w:rsid w:val="00531451"/>
    <w:rsid w:val="00531FC6"/>
    <w:rsid w:val="00532663"/>
    <w:rsid w:val="005329B0"/>
    <w:rsid w:val="00542225"/>
    <w:rsid w:val="0054515C"/>
    <w:rsid w:val="0054628A"/>
    <w:rsid w:val="0056576E"/>
    <w:rsid w:val="00567235"/>
    <w:rsid w:val="00572533"/>
    <w:rsid w:val="005870F2"/>
    <w:rsid w:val="005A6D1E"/>
    <w:rsid w:val="005B06FC"/>
    <w:rsid w:val="005B2A93"/>
    <w:rsid w:val="005C6500"/>
    <w:rsid w:val="005D05E0"/>
    <w:rsid w:val="005D6FB3"/>
    <w:rsid w:val="005E15EB"/>
    <w:rsid w:val="005E1A2C"/>
    <w:rsid w:val="005E53D1"/>
    <w:rsid w:val="00600F8C"/>
    <w:rsid w:val="00601065"/>
    <w:rsid w:val="006028C9"/>
    <w:rsid w:val="00602A33"/>
    <w:rsid w:val="00604638"/>
    <w:rsid w:val="00607DA1"/>
    <w:rsid w:val="00615491"/>
    <w:rsid w:val="00620CA2"/>
    <w:rsid w:val="0062603D"/>
    <w:rsid w:val="0063056C"/>
    <w:rsid w:val="00633091"/>
    <w:rsid w:val="006370F4"/>
    <w:rsid w:val="00637A1A"/>
    <w:rsid w:val="00637E1C"/>
    <w:rsid w:val="006466FD"/>
    <w:rsid w:val="006473E4"/>
    <w:rsid w:val="006518A6"/>
    <w:rsid w:val="00652279"/>
    <w:rsid w:val="00654188"/>
    <w:rsid w:val="0065447C"/>
    <w:rsid w:val="00662654"/>
    <w:rsid w:val="006639EB"/>
    <w:rsid w:val="0067650B"/>
    <w:rsid w:val="006C09D7"/>
    <w:rsid w:val="006E5A2E"/>
    <w:rsid w:val="006F12A7"/>
    <w:rsid w:val="006F6461"/>
    <w:rsid w:val="00703424"/>
    <w:rsid w:val="00704D99"/>
    <w:rsid w:val="0071402B"/>
    <w:rsid w:val="0071532A"/>
    <w:rsid w:val="00716461"/>
    <w:rsid w:val="007230A6"/>
    <w:rsid w:val="0073070F"/>
    <w:rsid w:val="007341AA"/>
    <w:rsid w:val="00734201"/>
    <w:rsid w:val="00743AC9"/>
    <w:rsid w:val="00756D6D"/>
    <w:rsid w:val="0075721B"/>
    <w:rsid w:val="00767CC9"/>
    <w:rsid w:val="00783B7D"/>
    <w:rsid w:val="007B6C29"/>
    <w:rsid w:val="007D1C73"/>
    <w:rsid w:val="007D4305"/>
    <w:rsid w:val="007D591C"/>
    <w:rsid w:val="007D5D9B"/>
    <w:rsid w:val="007E7126"/>
    <w:rsid w:val="007F59FE"/>
    <w:rsid w:val="007F694D"/>
    <w:rsid w:val="007F795F"/>
    <w:rsid w:val="00804134"/>
    <w:rsid w:val="00806E1F"/>
    <w:rsid w:val="00814870"/>
    <w:rsid w:val="0081601A"/>
    <w:rsid w:val="008379B1"/>
    <w:rsid w:val="00842F61"/>
    <w:rsid w:val="00843B0E"/>
    <w:rsid w:val="00855DB3"/>
    <w:rsid w:val="00861184"/>
    <w:rsid w:val="008614C0"/>
    <w:rsid w:val="00867642"/>
    <w:rsid w:val="008710C5"/>
    <w:rsid w:val="00885758"/>
    <w:rsid w:val="00885A25"/>
    <w:rsid w:val="00885D17"/>
    <w:rsid w:val="00890047"/>
    <w:rsid w:val="008B1CD4"/>
    <w:rsid w:val="008D7A6F"/>
    <w:rsid w:val="008E1D92"/>
    <w:rsid w:val="00905E90"/>
    <w:rsid w:val="00907E39"/>
    <w:rsid w:val="00941E60"/>
    <w:rsid w:val="00942F42"/>
    <w:rsid w:val="00965992"/>
    <w:rsid w:val="009673F6"/>
    <w:rsid w:val="009751AA"/>
    <w:rsid w:val="00985725"/>
    <w:rsid w:val="0098671F"/>
    <w:rsid w:val="0099223B"/>
    <w:rsid w:val="00994611"/>
    <w:rsid w:val="009A239C"/>
    <w:rsid w:val="009A2616"/>
    <w:rsid w:val="009B4D26"/>
    <w:rsid w:val="009B4E45"/>
    <w:rsid w:val="009C0B4C"/>
    <w:rsid w:val="009D3720"/>
    <w:rsid w:val="009E189C"/>
    <w:rsid w:val="009F1BBC"/>
    <w:rsid w:val="00A075F1"/>
    <w:rsid w:val="00A37710"/>
    <w:rsid w:val="00A45ABD"/>
    <w:rsid w:val="00A537FA"/>
    <w:rsid w:val="00A70EB3"/>
    <w:rsid w:val="00A72488"/>
    <w:rsid w:val="00A7653E"/>
    <w:rsid w:val="00A811DD"/>
    <w:rsid w:val="00A8362D"/>
    <w:rsid w:val="00A837CA"/>
    <w:rsid w:val="00A87292"/>
    <w:rsid w:val="00A9026B"/>
    <w:rsid w:val="00A91526"/>
    <w:rsid w:val="00AB14BC"/>
    <w:rsid w:val="00AC3F9C"/>
    <w:rsid w:val="00AD7DB4"/>
    <w:rsid w:val="00AE0A9A"/>
    <w:rsid w:val="00B01362"/>
    <w:rsid w:val="00B04151"/>
    <w:rsid w:val="00B07A78"/>
    <w:rsid w:val="00B10101"/>
    <w:rsid w:val="00B3451E"/>
    <w:rsid w:val="00B360D1"/>
    <w:rsid w:val="00B36241"/>
    <w:rsid w:val="00B429BE"/>
    <w:rsid w:val="00B471A0"/>
    <w:rsid w:val="00B5086B"/>
    <w:rsid w:val="00B53DAE"/>
    <w:rsid w:val="00B56957"/>
    <w:rsid w:val="00B74201"/>
    <w:rsid w:val="00BB0C56"/>
    <w:rsid w:val="00BB2159"/>
    <w:rsid w:val="00BB40AC"/>
    <w:rsid w:val="00BD6D27"/>
    <w:rsid w:val="00BF57F9"/>
    <w:rsid w:val="00C04ADE"/>
    <w:rsid w:val="00C10A7D"/>
    <w:rsid w:val="00C16503"/>
    <w:rsid w:val="00C37F21"/>
    <w:rsid w:val="00C4498B"/>
    <w:rsid w:val="00C57F86"/>
    <w:rsid w:val="00C64F47"/>
    <w:rsid w:val="00C81860"/>
    <w:rsid w:val="00C83D5E"/>
    <w:rsid w:val="00C95843"/>
    <w:rsid w:val="00C95D5F"/>
    <w:rsid w:val="00CA0D86"/>
    <w:rsid w:val="00CA2983"/>
    <w:rsid w:val="00CA49BB"/>
    <w:rsid w:val="00CA51FC"/>
    <w:rsid w:val="00CA538B"/>
    <w:rsid w:val="00CC3064"/>
    <w:rsid w:val="00CD382E"/>
    <w:rsid w:val="00CD3A9C"/>
    <w:rsid w:val="00CD65B0"/>
    <w:rsid w:val="00CE02B0"/>
    <w:rsid w:val="00CE32A8"/>
    <w:rsid w:val="00CF60CC"/>
    <w:rsid w:val="00D07B2A"/>
    <w:rsid w:val="00D14FCA"/>
    <w:rsid w:val="00D21719"/>
    <w:rsid w:val="00D241F8"/>
    <w:rsid w:val="00D33243"/>
    <w:rsid w:val="00D3510F"/>
    <w:rsid w:val="00D36304"/>
    <w:rsid w:val="00D370BE"/>
    <w:rsid w:val="00D42818"/>
    <w:rsid w:val="00D431D5"/>
    <w:rsid w:val="00D43214"/>
    <w:rsid w:val="00D5247B"/>
    <w:rsid w:val="00D62E8D"/>
    <w:rsid w:val="00D70BF0"/>
    <w:rsid w:val="00D72049"/>
    <w:rsid w:val="00D7314B"/>
    <w:rsid w:val="00D876D7"/>
    <w:rsid w:val="00D928D0"/>
    <w:rsid w:val="00D963DD"/>
    <w:rsid w:val="00DA57E0"/>
    <w:rsid w:val="00DC2021"/>
    <w:rsid w:val="00DC5760"/>
    <w:rsid w:val="00DE3E17"/>
    <w:rsid w:val="00E14675"/>
    <w:rsid w:val="00E2286F"/>
    <w:rsid w:val="00E25961"/>
    <w:rsid w:val="00E25E2C"/>
    <w:rsid w:val="00E3244D"/>
    <w:rsid w:val="00E327B4"/>
    <w:rsid w:val="00E600E7"/>
    <w:rsid w:val="00E640CE"/>
    <w:rsid w:val="00E65FC7"/>
    <w:rsid w:val="00E70BD0"/>
    <w:rsid w:val="00E73FAD"/>
    <w:rsid w:val="00E753DD"/>
    <w:rsid w:val="00E83F5F"/>
    <w:rsid w:val="00E864C9"/>
    <w:rsid w:val="00EA5D2F"/>
    <w:rsid w:val="00EB28FB"/>
    <w:rsid w:val="00EB3567"/>
    <w:rsid w:val="00EB6305"/>
    <w:rsid w:val="00ED1886"/>
    <w:rsid w:val="00EE1E0E"/>
    <w:rsid w:val="00F011A6"/>
    <w:rsid w:val="00F03861"/>
    <w:rsid w:val="00F05A17"/>
    <w:rsid w:val="00F069C9"/>
    <w:rsid w:val="00F14182"/>
    <w:rsid w:val="00F15BA6"/>
    <w:rsid w:val="00F16700"/>
    <w:rsid w:val="00F22CB7"/>
    <w:rsid w:val="00F42F2C"/>
    <w:rsid w:val="00F45432"/>
    <w:rsid w:val="00F458FA"/>
    <w:rsid w:val="00F63C45"/>
    <w:rsid w:val="00F66DDD"/>
    <w:rsid w:val="00F70C37"/>
    <w:rsid w:val="00F8317C"/>
    <w:rsid w:val="00F935F7"/>
    <w:rsid w:val="00FA0309"/>
    <w:rsid w:val="00FB0179"/>
    <w:rsid w:val="00FB4C27"/>
    <w:rsid w:val="00FB55EE"/>
    <w:rsid w:val="00FE368B"/>
    <w:rsid w:val="00FE6336"/>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C840E-E375-4C07-AA50-38E6ADE14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643</Words>
  <Characters>3797</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20</cp:revision>
  <dcterms:created xsi:type="dcterms:W3CDTF">2020-05-14T15:53:00Z</dcterms:created>
  <dcterms:modified xsi:type="dcterms:W3CDTF">2020-09-08T16:43:00Z</dcterms:modified>
</cp:coreProperties>
</file>